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67C47">
      <w:bookmarkStart w:id="0" w:name="_Toc35781532"/>
    </w:p>
    <w:p w14:paraId="773A6EA9"/>
    <w:p w14:paraId="6F168F0D">
      <w:pPr>
        <w:jc w:val="center"/>
        <w:rPr>
          <w:rFonts w:hint="eastAsia" w:eastAsia="方正小标宋简体"/>
          <w:sz w:val="56"/>
          <w:szCs w:val="56"/>
          <w:lang w:val="en-US" w:eastAsia="zh-CN"/>
        </w:rPr>
      </w:pPr>
    </w:p>
    <w:p w14:paraId="709E1061">
      <w:pPr>
        <w:jc w:val="center"/>
        <w:rPr>
          <w:rFonts w:hint="eastAsia" w:eastAsia="方正小标宋简体"/>
          <w:sz w:val="56"/>
          <w:szCs w:val="56"/>
          <w:lang w:val="en-US" w:eastAsia="zh-CN"/>
        </w:rPr>
      </w:pPr>
    </w:p>
    <w:p w14:paraId="1577AD55">
      <w:pPr>
        <w:jc w:val="center"/>
        <w:rPr>
          <w:rFonts w:hint="eastAsia" w:eastAsia="方正小标宋简体"/>
          <w:sz w:val="56"/>
          <w:szCs w:val="56"/>
          <w:lang w:val="en-US" w:eastAsia="zh-CN"/>
        </w:rPr>
      </w:pPr>
      <w:r>
        <w:rPr>
          <w:rFonts w:hint="eastAsia" w:eastAsia="方正小标宋简体"/>
          <w:sz w:val="56"/>
          <w:szCs w:val="56"/>
          <w:lang w:val="en-US" w:eastAsia="zh-CN"/>
        </w:rPr>
        <w:t>常州大学</w:t>
      </w:r>
    </w:p>
    <w:p w14:paraId="0D59FFEA">
      <w:pPr>
        <w:jc w:val="center"/>
        <w:rPr>
          <w:rFonts w:hint="default" w:eastAsia="方正小标宋简体"/>
          <w:sz w:val="56"/>
          <w:szCs w:val="56"/>
          <w:lang w:val="en-US" w:eastAsia="zh-CN"/>
        </w:rPr>
      </w:pPr>
      <w:r>
        <w:rPr>
          <w:rFonts w:hint="eastAsia" w:eastAsia="方正小标宋简体"/>
          <w:sz w:val="56"/>
          <w:szCs w:val="56"/>
          <w:lang w:val="en-US" w:eastAsia="zh-CN"/>
        </w:rPr>
        <w:t>创新创业成果管理</w:t>
      </w:r>
      <w:r>
        <w:rPr>
          <w:rFonts w:hint="eastAsia" w:eastAsia="方正小标宋简体"/>
          <w:sz w:val="56"/>
          <w:szCs w:val="56"/>
          <w:lang w:val="zh-CN"/>
        </w:rPr>
        <w:t>系统</w:t>
      </w:r>
    </w:p>
    <w:p w14:paraId="59ABC30C">
      <w:pPr>
        <w:jc w:val="center"/>
      </w:pPr>
      <w:r>
        <w:rPr>
          <w:rFonts w:hint="eastAsia" w:eastAsia="方正小标宋简体"/>
          <w:sz w:val="56"/>
          <w:szCs w:val="56"/>
          <w:lang w:val="en-US" w:eastAsia="zh-CN"/>
        </w:rPr>
        <w:t>操作指南</w:t>
      </w:r>
    </w:p>
    <w:p w14:paraId="0B5500E5"/>
    <w:p w14:paraId="1E24F5BE"/>
    <w:p w14:paraId="216A3D24"/>
    <w:p w14:paraId="04F126BC"/>
    <w:p w14:paraId="24B82253"/>
    <w:p w14:paraId="5FC1F805"/>
    <w:p w14:paraId="342FCEE1"/>
    <w:p w14:paraId="7F282D0B"/>
    <w:p w14:paraId="0219BC6B"/>
    <w:p w14:paraId="30262CD2"/>
    <w:p w14:paraId="1D347075"/>
    <w:p w14:paraId="1CA90819"/>
    <w:p w14:paraId="5813C378"/>
    <w:p w14:paraId="70BABF25"/>
    <w:p w14:paraId="0B715903"/>
    <w:p w14:paraId="33CC3575"/>
    <w:p w14:paraId="651A9EEC"/>
    <w:p w14:paraId="156088B0"/>
    <w:p w14:paraId="07D5B45C"/>
    <w:p w14:paraId="652A4D2A"/>
    <w:p w14:paraId="30AE2AC4"/>
    <w:p w14:paraId="29D6F5E3"/>
    <w:p w14:paraId="0D854AA3"/>
    <w:p w14:paraId="4070CC83"/>
    <w:p w14:paraId="5A051E7D"/>
    <w:p w14:paraId="5C6DC845">
      <w:pPr>
        <w:jc w:val="center"/>
      </w:pPr>
      <w:r>
        <w:rPr>
          <w:rFonts w:hint="eastAsia"/>
          <w:sz w:val="32"/>
          <w:szCs w:val="32"/>
        </w:rPr>
        <w:t>二〇二</w:t>
      </w:r>
      <w:r>
        <w:rPr>
          <w:rFonts w:hint="eastAsia"/>
          <w:sz w:val="32"/>
          <w:szCs w:val="32"/>
          <w:lang w:val="en-US" w:eastAsia="zh-CN"/>
        </w:rPr>
        <w:t>四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eastAsia="zh-CN"/>
        </w:rPr>
        <w:t>十二</w:t>
      </w:r>
      <w:r>
        <w:rPr>
          <w:rFonts w:hint="eastAsia"/>
          <w:sz w:val="32"/>
          <w:szCs w:val="32"/>
        </w:rPr>
        <w:t>月</w:t>
      </w:r>
    </w:p>
    <w:bookmarkEnd w:id="0"/>
    <w:p w14:paraId="49B3FA29">
      <w:pPr>
        <w:pStyle w:val="2"/>
        <w:jc w:val="center"/>
        <w:rPr>
          <w:b w:val="0"/>
          <w:bCs w:val="0"/>
        </w:rPr>
      </w:pPr>
      <w:bookmarkStart w:id="1" w:name="_Toc11922"/>
      <w:r>
        <w:rPr>
          <w:rFonts w:hint="eastAsia"/>
          <w:b w:val="0"/>
          <w:bCs w:val="0"/>
          <w:lang w:eastAsia="zh-CN"/>
        </w:rPr>
        <w:t>创新创业成果</w:t>
      </w:r>
      <w:r>
        <w:rPr>
          <w:rFonts w:hint="eastAsia"/>
          <w:b w:val="0"/>
          <w:bCs w:val="0"/>
        </w:rPr>
        <w:t>申报指南</w:t>
      </w:r>
      <w:bookmarkEnd w:id="1"/>
    </w:p>
    <w:p w14:paraId="03F1A0E8">
      <w:pPr>
        <w:pStyle w:val="3"/>
      </w:pPr>
      <w:bookmarkStart w:id="2" w:name="_Toc8275"/>
      <w:r>
        <w:rPr>
          <w:rFonts w:hint="eastAsia"/>
        </w:rPr>
        <w:t>一、网络平台登录</w:t>
      </w:r>
      <w:bookmarkEnd w:id="2"/>
    </w:p>
    <w:p w14:paraId="4A89AE44">
      <w:pPr>
        <w:spacing w:beforeLines="0" w:afterLines="0"/>
        <w:jc w:val="left"/>
        <w:rPr>
          <w:rFonts w:hint="eastAsia" w:cs="Times New Roman" w:asciiTheme="minorEastAsia" w:hAnsiTheme="minorEastAsia"/>
          <w:bCs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1、用户</w:t>
      </w:r>
      <w:r>
        <w:rPr>
          <w:rFonts w:hint="eastAsia" w:ascii="仿宋" w:hAnsi="仿宋" w:eastAsia="仿宋" w:cs="仿宋_GB2312"/>
          <w:sz w:val="32"/>
          <w:szCs w:val="32"/>
        </w:rPr>
        <w:t>在浏览器地址栏输入网址</w:t>
      </w:r>
      <w:r>
        <w:rPr>
          <w:rFonts w:ascii="宋体" w:hAnsi="宋体" w:eastAsia="宋体" w:cs="宋体"/>
          <w:sz w:val="24"/>
          <w:szCs w:val="24"/>
        </w:rPr>
        <w:t>https://cxcypt.cczu.edu.cn/pt</w:t>
      </w:r>
      <w:r>
        <w:rPr>
          <w:rFonts w:hint="eastAsia" w:ascii="仿宋" w:hAnsi="仿宋" w:eastAsia="仿宋" w:cs="仿宋_GB2312"/>
          <w:sz w:val="32"/>
          <w:szCs w:val="32"/>
        </w:rPr>
        <w:t>，在跳转出如下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_GB2312"/>
          <w:sz w:val="32"/>
          <w:szCs w:val="32"/>
        </w:rPr>
        <w:t>页面。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建议使用谷歌</w:t>
      </w:r>
      <w:r>
        <w:rPr>
          <w:rFonts w:ascii="Times New Roman" w:hAnsi="Times New Roman" w:eastAsia="仿宋" w:cs="Times New Roman"/>
          <w:bCs/>
          <w:sz w:val="32"/>
          <w:szCs w:val="32"/>
        </w:rPr>
        <w:t>Google Chrome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浏览器或者火狐F</w:t>
      </w:r>
      <w:r>
        <w:rPr>
          <w:rFonts w:ascii="Times New Roman" w:hAnsi="Times New Roman" w:eastAsia="仿宋" w:cs="Times New Roman"/>
          <w:bCs/>
          <w:sz w:val="32"/>
          <w:szCs w:val="32"/>
        </w:rPr>
        <w:t>irefox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浏览器，浏览器下载网址分别是：（</w:t>
      </w:r>
      <w:r>
        <w:rPr>
          <w:rFonts w:ascii="仿宋" w:hAnsi="仿宋" w:eastAsia="仿宋" w:cs="Times New Roman"/>
          <w:bCs/>
          <w:color w:val="0000FF"/>
          <w:sz w:val="24"/>
          <w:szCs w:val="24"/>
        </w:rPr>
        <w:t>https://www.google.cn/chrome/</w:t>
      </w:r>
      <w:r>
        <w:rPr>
          <w:rFonts w:hint="eastAsia" w:ascii="仿宋" w:hAnsi="仿宋" w:eastAsia="仿宋" w:cs="Times New Roman"/>
          <w:bCs/>
          <w:color w:val="0000FF"/>
          <w:sz w:val="24"/>
          <w:szCs w:val="24"/>
        </w:rPr>
        <w:t>、</w:t>
      </w:r>
      <w:r>
        <w:rPr>
          <w:rFonts w:ascii="仿宋" w:hAnsi="仿宋" w:eastAsia="仿宋" w:cs="Times New Roman"/>
          <w:bCs/>
          <w:color w:val="0000FF"/>
          <w:sz w:val="24"/>
          <w:szCs w:val="24"/>
        </w:rPr>
        <w:t>http://www.firefox.com.cn/</w:t>
      </w:r>
      <w:r>
        <w:rPr>
          <w:rFonts w:hint="eastAsia" w:cs="Times New Roman" w:asciiTheme="minorEastAsia" w:hAnsiTheme="minorEastAsia"/>
          <w:bCs/>
          <w:sz w:val="32"/>
          <w:szCs w:val="32"/>
        </w:rPr>
        <w:t>）</w:t>
      </w:r>
    </w:p>
    <w:p w14:paraId="1A86D98C">
      <w:pPr>
        <w:spacing w:line="360" w:lineRule="auto"/>
        <w:jc w:val="center"/>
      </w:pPr>
      <w:r>
        <w:drawing>
          <wp:inline distT="0" distB="0" distL="114300" distR="114300">
            <wp:extent cx="5269230" cy="2515870"/>
            <wp:effectExtent l="0" t="0" r="762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F949">
      <w:pPr>
        <w:spacing w:line="360" w:lineRule="auto"/>
        <w:jc w:val="center"/>
      </w:pPr>
    </w:p>
    <w:p w14:paraId="41A6A979">
      <w:pPr>
        <w:numPr>
          <w:ilvl w:val="0"/>
          <w:numId w:val="0"/>
        </w:numPr>
        <w:snapToGrid w:val="0"/>
        <w:spacing w:line="520" w:lineRule="exac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2、竞赛负责人选择“统一认证登录”输入一网通账号密码进入平台</w:t>
      </w:r>
      <w:r>
        <w:rPr>
          <w:rFonts w:hint="eastAsia" w:ascii="仿宋" w:hAnsi="仿宋" w:eastAsia="仿宋" w:cs="仿宋_GB2312"/>
          <w:sz w:val="32"/>
          <w:szCs w:val="32"/>
        </w:rPr>
        <w:t>。</w:t>
      </w:r>
    </w:p>
    <w:p w14:paraId="3F51326D">
      <w:pPr>
        <w:numPr>
          <w:ilvl w:val="0"/>
          <w:numId w:val="0"/>
        </w:numPr>
        <w:snapToGrid w:val="0"/>
        <w:spacing w:line="520" w:lineRule="exact"/>
        <w:rPr>
          <w:rFonts w:hint="eastAsia" w:ascii="仿宋" w:hAnsi="仿宋" w:eastAsia="仿宋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color w:val="FF0000"/>
          <w:sz w:val="32"/>
          <w:szCs w:val="32"/>
          <w:lang w:val="en-US" w:eastAsia="zh-CN"/>
        </w:rPr>
        <w:t>注：不可以单独使用子系统账号密码进行登录。</w:t>
      </w:r>
    </w:p>
    <w:p w14:paraId="20DFB079">
      <w:pPr>
        <w:pStyle w:val="3"/>
        <w:rPr>
          <w:rFonts w:hint="default"/>
          <w:lang w:val="en-US"/>
        </w:rPr>
      </w:pPr>
      <w:r>
        <w:rPr>
          <w:rFonts w:hint="eastAsia"/>
          <w:lang w:val="en-US" w:eastAsia="zh-CN"/>
        </w:rPr>
        <w:t>二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填报流程</w:t>
      </w:r>
    </w:p>
    <w:p w14:paraId="32A36701">
      <w:pPr>
        <w:numPr>
          <w:ilvl w:val="0"/>
          <w:numId w:val="0"/>
        </w:numPr>
        <w:snapToGrid w:val="0"/>
        <w:spacing w:line="520" w:lineRule="exact"/>
        <w:rPr>
          <w:rFonts w:hint="default" w:ascii="仿宋" w:hAnsi="仿宋" w:eastAsia="仿宋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color w:val="FF0000"/>
          <w:sz w:val="32"/>
          <w:szCs w:val="32"/>
          <w:lang w:val="en-US" w:eastAsia="zh-CN"/>
        </w:rPr>
        <w:t>竞赛负责人—&gt;完善竞赛库—&gt;竞赛奖励登记—&gt;学校审核</w:t>
      </w:r>
    </w:p>
    <w:p w14:paraId="50DAED02">
      <w:pPr>
        <w:pStyle w:val="3"/>
      </w:pPr>
      <w:bookmarkStart w:id="3" w:name="_Toc12271"/>
      <w:r>
        <w:rPr>
          <w:rFonts w:hint="eastAsia"/>
          <w:lang w:val="en-US" w:eastAsia="zh-CN"/>
        </w:rPr>
        <w:t>三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申报</w:t>
      </w:r>
      <w:bookmarkEnd w:id="3"/>
    </w:p>
    <w:p w14:paraId="40E7BE25">
      <w:pPr>
        <w:snapToGrid w:val="0"/>
        <w:spacing w:line="560" w:lineRule="exact"/>
        <w:ind w:firstLine="640"/>
        <w:rPr>
          <w:rFonts w:hint="eastAsia" w:ascii="仿宋" w:hAnsi="仿宋" w:eastAsia="仿宋" w:cs="仿宋_GB2312"/>
          <w:sz w:val="32"/>
          <w:szCs w:val="32"/>
          <w:lang w:eastAsia="zh-CN"/>
        </w:rPr>
      </w:pPr>
      <w:r>
        <w:rPr>
          <w:rFonts w:hint="eastAsia" w:ascii="仿宋" w:hAnsi="仿宋" w:eastAsia="仿宋" w:cs="仿宋_GB2312"/>
          <w:sz w:val="32"/>
          <w:szCs w:val="32"/>
          <w:lang w:eastAsia="zh-CN"/>
        </w:rPr>
        <w:t>进入平台后，点击平台子系统创新创业成果管理系统。</w:t>
      </w:r>
      <w:r>
        <w:rPr>
          <w:rFonts w:hint="eastAsia" w:ascii="仿宋" w:hAnsi="仿宋" w:eastAsia="仿宋" w:cs="仿宋"/>
          <w:sz w:val="32"/>
          <w:szCs w:val="32"/>
        </w:rPr>
        <w:t>如下图所示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 w14:paraId="1AD8A8EC">
      <w:pPr>
        <w:snapToGrid w:val="0"/>
        <w:jc w:val="center"/>
      </w:pPr>
      <w:r>
        <w:drawing>
          <wp:inline distT="0" distB="0" distL="114300" distR="114300">
            <wp:extent cx="5269230" cy="3067685"/>
            <wp:effectExtent l="0" t="0" r="7620" b="184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9372">
      <w:pPr>
        <w:snapToGrid w:val="0"/>
        <w:jc w:val="center"/>
      </w:pPr>
    </w:p>
    <w:p w14:paraId="6BD1CC6E">
      <w:pPr>
        <w:snapToGrid w:val="0"/>
        <w:jc w:val="center"/>
      </w:pPr>
    </w:p>
    <w:p w14:paraId="50CC906D">
      <w:pPr>
        <w:snapToGrid w:val="0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进入系统后选择“竞赛承办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/组织单位负责人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”角色进行申报操作。</w:t>
      </w:r>
      <w:r>
        <w:rPr>
          <w:rFonts w:hint="eastAsia" w:ascii="仿宋" w:hAnsi="仿宋" w:eastAsia="仿宋" w:cs="仿宋"/>
          <w:sz w:val="32"/>
          <w:szCs w:val="32"/>
        </w:rPr>
        <w:t>如下图所示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 w14:paraId="615B571A">
      <w:pPr>
        <w:snapToGrid w:val="0"/>
        <w:jc w:val="center"/>
      </w:pPr>
      <w:r>
        <w:drawing>
          <wp:inline distT="0" distB="0" distL="114300" distR="114300">
            <wp:extent cx="5269230" cy="2790825"/>
            <wp:effectExtent l="0" t="0" r="762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00FE">
      <w:pPr>
        <w:ind w:left="480" w:leftChars="0" w:firstLine="48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选择菜单“竞赛奖励登记”下子菜单“竞赛库”。填写竞赛奖励之前需要完善竞赛库数据，按照要求录入负责竞赛数据，完善后填写奖励登记。如下图所示：</w:t>
      </w:r>
    </w:p>
    <w:p w14:paraId="629809E1">
      <w:pPr>
        <w:snapToGrid w:val="0"/>
        <w:jc w:val="center"/>
      </w:pPr>
      <w:r>
        <w:drawing>
          <wp:inline distT="0" distB="0" distL="114300" distR="114300">
            <wp:extent cx="5269230" cy="2252980"/>
            <wp:effectExtent l="0" t="0" r="762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B2003">
      <w:pPr>
        <w:ind w:left="480" w:leftChars="0" w:firstLine="48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选择菜单“竞赛奖励登记”下子菜单“竞赛奖励登记”。如下图所示：</w:t>
      </w:r>
    </w:p>
    <w:p w14:paraId="695FD5CF">
      <w:pPr>
        <w:snapToGrid w:val="0"/>
      </w:pPr>
      <w:r>
        <w:drawing>
          <wp:inline distT="0" distB="0" distL="114300" distR="114300">
            <wp:extent cx="5269230" cy="2534285"/>
            <wp:effectExtent l="0" t="0" r="7620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089D">
      <w:pPr>
        <w:ind w:left="480" w:leftChars="0" w:firstLine="480" w:firstLineChars="0"/>
        <w:rPr>
          <w:rFonts w:hint="eastAsia" w:ascii="宋体" w:hAnsi="宋体" w:eastAsia="仿宋"/>
          <w:b w:val="0"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点击页面“新增”按钮进入跳转页面，根据新增页面字段内容，按照要求进行填写。根据</w:t>
      </w:r>
      <w:r>
        <w:rPr>
          <w:rFonts w:hint="eastAsia" w:ascii="仿宋" w:hAnsi="仿宋" w:eastAsia="仿宋" w:cs="仿宋"/>
          <w:sz w:val="32"/>
          <w:szCs w:val="32"/>
        </w:rPr>
        <w:t>如下图所示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 w14:paraId="105D6F09">
      <w:pPr>
        <w:snapToGrid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62835"/>
            <wp:effectExtent l="0" t="0" r="7620" b="184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47636">
      <w:pPr>
        <w:snapToGrid w:val="0"/>
      </w:pPr>
      <w:r>
        <w:drawing>
          <wp:inline distT="0" distB="0" distL="114300" distR="114300">
            <wp:extent cx="5269230" cy="2305685"/>
            <wp:effectExtent l="0" t="0" r="7620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60CC">
      <w:pPr>
        <w:ind w:left="480" w:leftChars="0" w:firstLine="480" w:firstLineChars="0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系统支持暂存申报项目功能，暂存状态的数据可以用来编辑、删除、查看。如果提交后将无法进行修改和删除，只能进行查看。</w:t>
      </w:r>
      <w:r>
        <w:rPr>
          <w:rFonts w:hint="eastAsia" w:ascii="仿宋" w:hAnsi="仿宋" w:eastAsia="仿宋" w:cs="仿宋"/>
          <w:sz w:val="32"/>
          <w:szCs w:val="32"/>
        </w:rPr>
        <w:t>如下图所示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 w14:paraId="313CD61B">
      <w:pPr>
        <w:snapToGrid w:val="0"/>
      </w:pPr>
      <w:r>
        <w:drawing>
          <wp:inline distT="0" distB="0" distL="114300" distR="114300">
            <wp:extent cx="5269230" cy="2534285"/>
            <wp:effectExtent l="0" t="0" r="7620" b="184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B36D">
      <w:pPr>
        <w:snapToGrid w:val="0"/>
      </w:pPr>
      <w:r>
        <w:drawing>
          <wp:inline distT="0" distB="0" distL="114300" distR="114300">
            <wp:extent cx="5269230" cy="2534285"/>
            <wp:effectExtent l="0" t="0" r="7620" b="1841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3FB5">
      <w:pPr>
        <w:snapToGrid w:val="0"/>
      </w:pPr>
    </w:p>
    <w:p w14:paraId="0AD6E337">
      <w:pPr>
        <w:snapToGrid w:val="0"/>
      </w:pPr>
    </w:p>
    <w:p w14:paraId="2FDE0B79">
      <w:pPr>
        <w:snapToGrid w:val="0"/>
      </w:pPr>
    </w:p>
    <w:p w14:paraId="3FB86448">
      <w:pPr>
        <w:ind w:left="480" w:leftChars="0" w:firstLine="48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暂存的数据想要提交先点击列表右侧图标编辑按钮，确认填写无误后，页面下拉点击“提交”，系统提示“提交竞赛奖励登记提示”后点击“确认”。</w:t>
      </w:r>
      <w:r>
        <w:rPr>
          <w:rFonts w:hint="eastAsia" w:ascii="仿宋" w:hAnsi="仿宋" w:eastAsia="仿宋" w:cs="仿宋"/>
          <w:sz w:val="32"/>
          <w:szCs w:val="32"/>
        </w:rPr>
        <w:t>如下图所示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 w14:paraId="5642D508">
      <w:pPr>
        <w:snapToGrid w:val="0"/>
      </w:pPr>
      <w:r>
        <w:drawing>
          <wp:inline distT="0" distB="0" distL="114300" distR="114300">
            <wp:extent cx="5269230" cy="2534285"/>
            <wp:effectExtent l="0" t="0" r="7620" b="1841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8B28">
      <w:pPr>
        <w:snapToGrid w:val="0"/>
      </w:pPr>
      <w:r>
        <w:drawing>
          <wp:inline distT="0" distB="0" distL="114300" distR="114300">
            <wp:extent cx="5269230" cy="2534285"/>
            <wp:effectExtent l="0" t="0" r="7620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6BB8E">
      <w:pPr>
        <w:snapToGrid w:val="0"/>
        <w:rPr>
          <w:rFonts w:hint="eastAsia"/>
        </w:rPr>
      </w:pPr>
    </w:p>
    <w:p w14:paraId="45673D0D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exact"/>
        <w:textAlignment w:val="auto"/>
      </w:pPr>
      <w:bookmarkStart w:id="4" w:name="_Toc25777"/>
      <w:r>
        <w:rPr>
          <w:rFonts w:hint="eastAsia"/>
          <w:lang w:val="en-US" w:eastAsia="zh-CN"/>
        </w:rPr>
        <w:t>四</w:t>
      </w:r>
      <w:r>
        <w:rPr>
          <w:rFonts w:hint="eastAsia"/>
        </w:rPr>
        <w:t>、完成申报</w:t>
      </w:r>
      <w:bookmarkEnd w:id="4"/>
    </w:p>
    <w:p w14:paraId="6F83F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82" w:leftChars="0" w:firstLine="482" w:firstLineChars="0"/>
        <w:textAlignment w:val="auto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  <w:lang w:eastAsia="zh-CN"/>
        </w:rPr>
        <w:t>竞赛负责人</w:t>
      </w:r>
      <w:r>
        <w:rPr>
          <w:rFonts w:hint="eastAsia" w:ascii="仿宋" w:hAnsi="仿宋" w:eastAsia="仿宋" w:cs="仿宋_GB2312"/>
          <w:sz w:val="32"/>
          <w:szCs w:val="32"/>
        </w:rPr>
        <w:t>点击提交后，状态为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提交竞赛奖励登记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_GB2312"/>
          <w:sz w:val="32"/>
          <w:szCs w:val="32"/>
        </w:rPr>
        <w:t>即完成申报工作。</w:t>
      </w:r>
      <w:r>
        <w:rPr>
          <w:rFonts w:hint="eastAsia" w:ascii="仿宋" w:hAnsi="仿宋" w:eastAsia="仿宋" w:cs="仿宋"/>
          <w:sz w:val="32"/>
          <w:szCs w:val="32"/>
        </w:rPr>
        <w:t>如下图所示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 w14:paraId="46235A58">
      <w:pPr>
        <w:snapToGrid w:val="0"/>
        <w:ind w:firstLine="210" w:firstLineChars="100"/>
      </w:pPr>
      <w:r>
        <w:drawing>
          <wp:inline distT="0" distB="0" distL="114300" distR="114300">
            <wp:extent cx="5266690" cy="2076450"/>
            <wp:effectExtent l="0" t="0" r="1016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BB4A">
      <w:pPr>
        <w:snapToGrid w:val="0"/>
        <w:ind w:firstLine="210" w:firstLineChars="100"/>
        <w:rPr>
          <w:rFonts w:hint="eastAsia"/>
        </w:rPr>
      </w:pPr>
    </w:p>
    <w:p w14:paraId="046C3C31">
      <w:pPr>
        <w:jc w:val="both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五、注意事项</w:t>
      </w:r>
    </w:p>
    <w:p w14:paraId="40B48E70">
      <w:pPr>
        <w:jc w:val="both"/>
        <w:rPr>
          <w:rFonts w:hint="eastAsia" w:ascii="仿宋" w:hAnsi="仿宋" w:eastAsia="仿宋"/>
          <w:b/>
          <w:color w:val="0000FF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1.所有</w:t>
      </w:r>
      <w:r>
        <w:rPr>
          <w:rFonts w:hint="eastAsia" w:ascii="仿宋" w:hAnsi="仿宋" w:eastAsia="仿宋"/>
          <w:b/>
          <w:color w:val="0000FF"/>
          <w:sz w:val="32"/>
          <w:szCs w:val="32"/>
          <w:lang w:val="en-US" w:eastAsia="zh-CN"/>
        </w:rPr>
        <w:t>国家级、区域级、省级获奖均录入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，同时需录入获奖证书、国赛举办的通知文件；</w:t>
      </w:r>
      <w:r>
        <w:rPr>
          <w:rFonts w:hint="eastAsia" w:ascii="仿宋" w:hAnsi="仿宋" w:eastAsia="仿宋"/>
          <w:b/>
          <w:color w:val="0000FF"/>
          <w:sz w:val="32"/>
          <w:szCs w:val="32"/>
          <w:lang w:val="en-US" w:eastAsia="zh-CN"/>
        </w:rPr>
        <w:t>同一个项目获奖，奖金奖励取高值，“是否奖励”部分只填（计）一次；</w:t>
      </w:r>
    </w:p>
    <w:p w14:paraId="60FC681A">
      <w:pPr>
        <w:jc w:val="both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3.学生、指导老师的</w:t>
      </w:r>
      <w:r>
        <w:rPr>
          <w:rFonts w:hint="eastAsia" w:ascii="仿宋" w:hAnsi="仿宋" w:eastAsia="仿宋"/>
          <w:b/>
          <w:color w:val="0000FF"/>
          <w:sz w:val="32"/>
          <w:szCs w:val="32"/>
          <w:lang w:val="en-US" w:eastAsia="zh-CN"/>
        </w:rPr>
        <w:t>先后顺序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一定要正确，与</w:t>
      </w:r>
      <w:r>
        <w:rPr>
          <w:rFonts w:hint="eastAsia" w:ascii="仿宋" w:hAnsi="仿宋" w:eastAsia="仿宋"/>
          <w:b/>
          <w:color w:val="0000FF"/>
          <w:sz w:val="32"/>
          <w:szCs w:val="32"/>
          <w:lang w:val="en-US" w:eastAsia="zh-CN"/>
        </w:rPr>
        <w:t>证书或发文相一致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；</w:t>
      </w:r>
    </w:p>
    <w:p w14:paraId="207C0935">
      <w:pPr>
        <w:jc w:val="both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4.部分竞赛获奖证书上</w:t>
      </w:r>
      <w:r>
        <w:rPr>
          <w:rFonts w:hint="eastAsia" w:ascii="仿宋" w:hAnsi="仿宋" w:eastAsia="仿宋"/>
          <w:b/>
          <w:color w:val="0000FF"/>
          <w:sz w:val="32"/>
          <w:szCs w:val="32"/>
          <w:lang w:val="en-US" w:eastAsia="zh-CN"/>
        </w:rPr>
        <w:t>没有指导老师，也需要填上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；</w:t>
      </w:r>
    </w:p>
    <w:p w14:paraId="5431402A">
      <w:pPr>
        <w:jc w:val="both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5.学生和老师的</w:t>
      </w:r>
      <w:r>
        <w:rPr>
          <w:rFonts w:hint="eastAsia" w:ascii="仿宋" w:hAnsi="仿宋" w:eastAsia="仿宋"/>
          <w:b/>
          <w:color w:val="0000FF"/>
          <w:sz w:val="32"/>
          <w:szCs w:val="32"/>
          <w:lang w:val="en-US" w:eastAsia="zh-CN"/>
        </w:rPr>
        <w:t>所在学院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检查一下是否正确，</w:t>
      </w:r>
      <w:r>
        <w:rPr>
          <w:rFonts w:hint="eastAsia" w:ascii="仿宋" w:hAnsi="仿宋" w:eastAsia="仿宋"/>
          <w:b/>
          <w:color w:val="0000FF"/>
          <w:sz w:val="32"/>
          <w:szCs w:val="32"/>
          <w:lang w:val="en-US" w:eastAsia="zh-CN"/>
        </w:rPr>
        <w:t>研究生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要具体到学院；</w:t>
      </w:r>
    </w:p>
    <w:p w14:paraId="0E34F720">
      <w:pPr>
        <w:jc w:val="both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6.国赛奖项设置、获奖层次要准确。</w:t>
      </w:r>
    </w:p>
    <w:p w14:paraId="42DF7510">
      <w:pPr>
        <w:jc w:val="both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如果国赛已有四个层次则省赛（区域赛）不发放奖金奖励了。区域赛、省赛获奖奖励需要申请与审核，计算奖励时候要注意作为国赛的选拔赛是省赛还是区域赛（系统中的省赛第一次层次），奖励的话是二选一。有区域赛算区域赛，没有再算省赛，区域赛、省赛奖项设置也要注意，第一层次是特等奖还是一等奖。</w:t>
      </w:r>
    </w:p>
    <w:p w14:paraId="3B81D248">
      <w:pPr>
        <w:jc w:val="both"/>
      </w:pPr>
      <w:r>
        <w:drawing>
          <wp:inline distT="0" distB="0" distL="114300" distR="114300">
            <wp:extent cx="5272405" cy="283400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1AC8">
      <w:pPr>
        <w:jc w:val="both"/>
        <w:rPr>
          <w:rFonts w:hint="eastAsia"/>
          <w:lang w:val="en-US" w:eastAsia="zh-CN"/>
        </w:rPr>
      </w:pPr>
    </w:p>
    <w:p w14:paraId="2CC97DA2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五、关于学院高质量发展考核指标说明与计分办法</w:t>
      </w:r>
    </w:p>
    <w:p w14:paraId="2051B911">
      <w:pPr>
        <w:ind w:firstLine="643" w:firstLineChars="200"/>
        <w:jc w:val="both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各学院学生在学校Ⅰ级竞赛项目（职规赛、体育类、文艺类除外）中获奖转换成积分，按生均积分排序，排名第一的 1 分，其他前 1/3 的 0.8 分，中间 1/3的 0.6 分、后 1/3 的 0.4 分，无人获奖的 0 分。同一项目获奖以最高奖计算。各学院学生Ⅰ级竞赛项目生均积分相较上年度排名的上升幅度排名第一的 1分，其他前 1/3 的 0.8 分，中间 1/3 的 0.6 分、后 1/3 的 0.4 分，无人获奖的 0分。学生获Ⅰ级甲等竞赛（不含职规赛）国赛第一层次奖，组织报送学院获0.5 分（学院联合申报的由第一学院分配）。各学院报名参加“国创赛”“挑战杯”数量达到分配指标得 0.5 分，不达标计 0 分。</w:t>
      </w:r>
    </w:p>
    <w:p w14:paraId="7ED55969">
      <w:pPr>
        <w:jc w:val="center"/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sz w:val="32"/>
          <w:szCs w:val="32"/>
          <w:lang w:eastAsia="zh-CN"/>
        </w:rPr>
        <w:drawing>
          <wp:inline distT="0" distB="0" distL="114300" distR="114300">
            <wp:extent cx="5274310" cy="1193165"/>
            <wp:effectExtent l="0" t="0" r="8890" b="635"/>
            <wp:docPr id="2" name="图片 2" descr="ee59c64a-5c7b-4e8d-b3ff-48d86fcd2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59c64a-5c7b-4e8d-b3ff-48d86fcd2c4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6ACC">
      <w:pPr>
        <w:jc w:val="center"/>
        <w:rPr>
          <w:rFonts w:hint="eastAsia" w:ascii="仿宋" w:hAnsi="仿宋" w:eastAsia="仿宋"/>
          <w:b/>
          <w:sz w:val="32"/>
          <w:szCs w:val="32"/>
          <w:lang w:eastAsia="zh-CN"/>
        </w:rPr>
      </w:pPr>
    </w:p>
    <w:p w14:paraId="227DFF74">
      <w:pPr>
        <w:jc w:val="both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每个学院总积分计算方法：</w:t>
      </w:r>
    </w:p>
    <w:p w14:paraId="26C36160">
      <w:pPr>
        <w:jc w:val="both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1.56个一级竞赛的获奖项目按照《管理办法》获得多少奖金奖励则获得多少积分（1块钱计1个积分），由不同学院按比例划分；</w:t>
      </w:r>
      <w:bookmarkStart w:id="5" w:name="_GoBack"/>
      <w:bookmarkEnd w:id="5"/>
    </w:p>
    <w:p w14:paraId="43DC2E58">
      <w:pPr>
        <w:jc w:val="both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2.学校牵头负责的比赛（互联网+、大小挑、节能减排、大艺展甲组），获得奖励积分的，参与学生与指导老师各分50%，学生、指导老师按贡献度（排名先后顺序）分配；</w:t>
      </w:r>
    </w:p>
    <w:p w14:paraId="33BB6BDB">
      <w:pPr>
        <w:jc w:val="both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3.其他一级竞赛，先按照牵头学院40%，参与学生30%，指导30%，学生、指导老师按贡献度（排名先后顺序）分配；</w:t>
      </w:r>
    </w:p>
    <w:p w14:paraId="69E6BCBC">
      <w:pPr>
        <w:jc w:val="both"/>
        <w:rPr>
          <w:rFonts w:hint="default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4.各学院学生与指导老师累计积分作为学院获得的总积分。</w:t>
      </w:r>
    </w:p>
    <w:p w14:paraId="0D115A88">
      <w:pPr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&lt;&lt;&lt;&lt;&lt; 文档</w:t>
      </w:r>
      <w:r>
        <w:rPr>
          <w:rFonts w:hint="eastAsia" w:ascii="仿宋" w:hAnsi="仿宋" w:eastAsia="仿宋"/>
          <w:b/>
          <w:bCs/>
          <w:sz w:val="32"/>
          <w:szCs w:val="32"/>
        </w:rPr>
        <w:t xml:space="preserve">结束 </w:t>
      </w:r>
      <w:r>
        <w:rPr>
          <w:rFonts w:hint="eastAsia" w:ascii="仿宋" w:hAnsi="仿宋" w:eastAsia="仿宋"/>
          <w:b/>
          <w:sz w:val="32"/>
          <w:szCs w:val="32"/>
        </w:rPr>
        <w:t>&gt;&gt;&gt;&gt;&gt;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70707454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 w14:paraId="7CD27CEA"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yMTAyNzZhNTcxZGRjMDUxZDUyODIyOTlmZTE3ZDgifQ=="/>
  </w:docVars>
  <w:rsids>
    <w:rsidRoot w:val="00390B70"/>
    <w:rsid w:val="00030EE2"/>
    <w:rsid w:val="000837F5"/>
    <w:rsid w:val="000A0C56"/>
    <w:rsid w:val="000F31B3"/>
    <w:rsid w:val="00124C9F"/>
    <w:rsid w:val="0013275E"/>
    <w:rsid w:val="0017413D"/>
    <w:rsid w:val="001B019F"/>
    <w:rsid w:val="001E55EA"/>
    <w:rsid w:val="002537F2"/>
    <w:rsid w:val="0028293D"/>
    <w:rsid w:val="0029068A"/>
    <w:rsid w:val="002973BB"/>
    <w:rsid w:val="002A62C4"/>
    <w:rsid w:val="002B5FAD"/>
    <w:rsid w:val="002C1EFB"/>
    <w:rsid w:val="00376444"/>
    <w:rsid w:val="00390B70"/>
    <w:rsid w:val="00446DE8"/>
    <w:rsid w:val="00472DC2"/>
    <w:rsid w:val="004A4D60"/>
    <w:rsid w:val="004D009A"/>
    <w:rsid w:val="00530994"/>
    <w:rsid w:val="00553233"/>
    <w:rsid w:val="00563E07"/>
    <w:rsid w:val="00567A3C"/>
    <w:rsid w:val="0059645C"/>
    <w:rsid w:val="005B5A25"/>
    <w:rsid w:val="00605802"/>
    <w:rsid w:val="00657EA2"/>
    <w:rsid w:val="006606BA"/>
    <w:rsid w:val="00686F8E"/>
    <w:rsid w:val="006A342F"/>
    <w:rsid w:val="006F3F46"/>
    <w:rsid w:val="00702892"/>
    <w:rsid w:val="00721B91"/>
    <w:rsid w:val="00743CF0"/>
    <w:rsid w:val="007610AD"/>
    <w:rsid w:val="00784089"/>
    <w:rsid w:val="007C0078"/>
    <w:rsid w:val="00842140"/>
    <w:rsid w:val="00852E1F"/>
    <w:rsid w:val="00983F55"/>
    <w:rsid w:val="009A3E4A"/>
    <w:rsid w:val="009E5E46"/>
    <w:rsid w:val="00A51719"/>
    <w:rsid w:val="00A76ADC"/>
    <w:rsid w:val="00A94ABB"/>
    <w:rsid w:val="00B644D8"/>
    <w:rsid w:val="00BF288C"/>
    <w:rsid w:val="00C239F5"/>
    <w:rsid w:val="00C84A79"/>
    <w:rsid w:val="00C91649"/>
    <w:rsid w:val="00C956AC"/>
    <w:rsid w:val="00CC000D"/>
    <w:rsid w:val="00CD7654"/>
    <w:rsid w:val="00D071C4"/>
    <w:rsid w:val="00D97D09"/>
    <w:rsid w:val="00DB5944"/>
    <w:rsid w:val="00E54D36"/>
    <w:rsid w:val="00E6146F"/>
    <w:rsid w:val="00E678EA"/>
    <w:rsid w:val="00E764B0"/>
    <w:rsid w:val="00E801FB"/>
    <w:rsid w:val="00E9059C"/>
    <w:rsid w:val="00EC1D27"/>
    <w:rsid w:val="00EC32DE"/>
    <w:rsid w:val="00EC4D48"/>
    <w:rsid w:val="00EE79B1"/>
    <w:rsid w:val="00F26D71"/>
    <w:rsid w:val="00F648B4"/>
    <w:rsid w:val="00FB33AC"/>
    <w:rsid w:val="00FC4B33"/>
    <w:rsid w:val="00FD5361"/>
    <w:rsid w:val="05DB5DEC"/>
    <w:rsid w:val="070C0D85"/>
    <w:rsid w:val="0A7B6D38"/>
    <w:rsid w:val="0F8F3303"/>
    <w:rsid w:val="10EA322C"/>
    <w:rsid w:val="13C60D05"/>
    <w:rsid w:val="15300408"/>
    <w:rsid w:val="164F3503"/>
    <w:rsid w:val="17C441BD"/>
    <w:rsid w:val="17CD40AA"/>
    <w:rsid w:val="198A14B7"/>
    <w:rsid w:val="1A236065"/>
    <w:rsid w:val="1CC03893"/>
    <w:rsid w:val="26094761"/>
    <w:rsid w:val="28BB27B6"/>
    <w:rsid w:val="291F6C87"/>
    <w:rsid w:val="2CB74D97"/>
    <w:rsid w:val="2F4D52F3"/>
    <w:rsid w:val="30C348FC"/>
    <w:rsid w:val="34A678D5"/>
    <w:rsid w:val="35EE60C7"/>
    <w:rsid w:val="39644EFD"/>
    <w:rsid w:val="39980B33"/>
    <w:rsid w:val="3A2F612F"/>
    <w:rsid w:val="3EBE4569"/>
    <w:rsid w:val="40DF593D"/>
    <w:rsid w:val="419A04FD"/>
    <w:rsid w:val="43385812"/>
    <w:rsid w:val="47001396"/>
    <w:rsid w:val="478A47FA"/>
    <w:rsid w:val="50A67307"/>
    <w:rsid w:val="520A30D8"/>
    <w:rsid w:val="52D4114A"/>
    <w:rsid w:val="53534730"/>
    <w:rsid w:val="546B6E46"/>
    <w:rsid w:val="58B0577F"/>
    <w:rsid w:val="58C31A16"/>
    <w:rsid w:val="5AFB68F1"/>
    <w:rsid w:val="5B020404"/>
    <w:rsid w:val="5ED00DF5"/>
    <w:rsid w:val="62555757"/>
    <w:rsid w:val="675B3322"/>
    <w:rsid w:val="6D6C103B"/>
    <w:rsid w:val="71D64A41"/>
    <w:rsid w:val="73A7367E"/>
    <w:rsid w:val="74715FE0"/>
    <w:rsid w:val="797C101F"/>
    <w:rsid w:val="7CFE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napToGrid w:val="0"/>
      <w:spacing w:line="560" w:lineRule="exact"/>
      <w:outlineLvl w:val="0"/>
    </w:pPr>
    <w:rPr>
      <w:rFonts w:ascii="Times New Roman" w:hAnsi="Times New Roman" w:eastAsia="方正小标宋简体" w:cs="Times New Roman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semiHidden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qFormat/>
    <w:uiPriority w:val="0"/>
    <w:rPr>
      <w:rFonts w:ascii="Times New Roman" w:hAnsi="Times New Roman" w:eastAsia="方正小标宋简体" w:cs="Times New Roman"/>
      <w:b/>
      <w:bCs/>
      <w:kern w:val="44"/>
      <w:sz w:val="36"/>
      <w:szCs w:val="44"/>
    </w:rPr>
  </w:style>
  <w:style w:type="character" w:customStyle="1" w:styleId="16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17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8">
    <w:name w:val="TOC 标题1"/>
    <w:basedOn w:val="2"/>
    <w:next w:val="1"/>
    <w:semiHidden/>
    <w:unhideWhenUsed/>
    <w:qFormat/>
    <w:uiPriority w:val="39"/>
    <w:pPr>
      <w:widowControl/>
      <w:snapToGrid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1318</Words>
  <Characters>1464</Characters>
  <Lines>8</Lines>
  <Paragraphs>2</Paragraphs>
  <TotalTime>44</TotalTime>
  <ScaleCrop>false</ScaleCrop>
  <LinksUpToDate>false</LinksUpToDate>
  <CharactersWithSpaces>1473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2020-03-23T00:54:00Z</dcterms:created>
  <dc:creator>hao jie</dc:creator>
  <cp:lastModifiedBy>Dongxin</cp:lastModifiedBy>
  <dcterms:modified xsi:type="dcterms:W3CDTF">2025-11-18T06:56:00Z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8446E0861E924613B391D2045B8E11BB_13</vt:lpwstr>
  </property>
  <property fmtid="{D5CDD505-2E9C-101B-9397-08002B2CF9AE}" pid="4" name="KSOTemplateDocerSaveRecord">
    <vt:lpwstr>eyJoZGlkIjoiYjg2NmE3YjY3YzhlZjFlMzM1M2ZiMzJlZjI2NGE2NDEiLCJ1c2VySWQiOiIyOTA0MjQwOTcifQ==</vt:lpwstr>
  </property>
</Properties>
</file>